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99</w:t>
      </w:r>
    </w:p>
    <w:p>
      <w:r>
        <w:t>Bundesgericht (BGE), 1984-03-06, DE</w:t>
      </w:r>
    </w:p>
    <w:p>
      <w:r>
        <w:rPr>
          <w:b/>
        </w:rPr>
        <w:t xml:space="preserve">Quelle: </w:t>
      </w:r>
      <w:r>
        <w:t>https://mcp.opencaselaw.ch/entscheid/bge_110 V 99</w:t>
      </w:r>
    </w:p>
    <w:p>
      <w:r>
        <w:t>FR: ATF 110 V 99</w:t>
      </w:r>
    </w:p>
    <w:p>
      <w:r>
        <w:t>IT: DTF 110 V 99</w:t>
      </w:r>
    </w:p>
    <w:p>
      <w:pPr>
        <w:pStyle w:val="Heading2"/>
      </w:pPr>
      <w:r>
        <w:t>Regeste</w:t>
      </w:r>
    </w:p>
    <w:p>
      <w:r>
        <w:t>Regeste Art. 9 Abs. 1 IVG, Art. 23bis Abs. 2 IVV. Wann liegen beachtliche Gründe für die Durchführung von Massnahmen im Ausland vor (Erw. 1)? In casu Kostengutsprache gewährt, nachdem die Epilepsiebehandlung in der Schweiz keinen Erfolg gebracht und der behandelnde Arzt Abklärung in einem deutschen Epilepsiezentrum befürwortet hatte (Erw. 2).</w:t>
      </w:r>
    </w:p>
    <w:p>
      <w:pPr>
        <w:pStyle w:val="Heading2"/>
      </w:pPr>
      <w:r>
        <w:t>Erwägungen</w:t>
      </w:r>
    </w:p>
    <w:p>
      <w:r>
        <w:rPr>
          <w:b/>
        </w:rPr>
        <w:t>E. 1</w:t>
      </w:r>
    </w:p>
    <w:p>
      <w:r>
        <w:t>Nach Art. 9 Abs. 1 IVG werden die Eingliederungsmassnahmen in der Schweiz und nur ausnahmsweise auch im Ausland gewährt. Abklärungsmassnahmen sind praxisgemäss den Eingliederungsmassnahmen gleichgestellt. Bis Ende 1976 war Art. 9 Abs. 1 IVG die einzige Norm, welche die Frage der Gewährung von Eingliederungsmassnahmen im Ausland regelte. Auf den 1. Januar 1977 ist der neue Art. 23bis IVV in Kraft getreten, dessen Abs. 1 wie folgt lautet: "Erweist sich die Durchführung einer Eingliederungsmassnahme in der Schweiz nicht als möglich, insbesondere weil die erforderlichen Institutionen oder Fachpersonen fehlen, oder muss eine medizinische Massnahme notfallmässig im Ausland durchgeführt werden, so übernimmt die Versicherung die Kosten einer einfachen und zweckmässigen Durchführung im Ausland." Diese Ordnung entspricht in etwa der bis dahin aufgrund von Art. 9 Abs. 1 IVG gehandhabten Praxis (vgl. dazu BGE 99 V 150 und BGE 97 V 158 ). Der Abs. 2 von Art. 23bis IVV bringt eine neue Leistungskategorie, indem er bestimmt: "Wird eine Massnahme aus anderen beachtlichen Gründen im Ausland durchgeführt, so vergütet die Versicherung die Kosten bis zu dem Umfang, in welchem solche Leistungen in der Schweiz zu erbringen gewesen wären." Hier wird der Begriff der "beachtlichen Gründe" eingeführt, bei deren Vorliegen die Invalidenversicherung ebenfalls für Massnahmen im Ausland leistungspflichtig wird. Es fragt sich, wie dieser BGE 110 V 99 S. 101 unbestimmte Rechtsbegriff zu handhaben ist, auf den sich sowohl das kantonale Versicherungsgericht als auch der Beschwerdeführer berufen. Die Voraussetzungen des Abs. 2 von Art. 23bis IVV gehen offensichtlich weniger weit als diejenigen des Abs. 1. Dies ergibt sich schon allein aus dem Wortlaut der beiden Bestimmungen und steht zudem im Einklang damit, dass die Leistungen nach Abs. 2 weniger umfassend sind als diejenigen nach Abs. 1. Während die Invalidenversicherung nach Abs. 1 die im Ausland entstehenden Durchführungskosten schlechthin übernimmt, hat sie gemäss Abs. 2 bloss bis zu dem Umfang Leistungen zu erbringen, in welchem die Leistungen in der Schweiz erbracht werden müssten; was die Transportkosten anbetrifft, werden sie nur so weit entschädigt, als sie für den Transport vom Wohnort des Versicherten bis zu einer entsprechenden Institution in der Schweiz vergütet würden. Die Invalidenversicherung gewährt also faktisch nur einen Beitrag an die effektiv entstandenen Kosten. Es fragt sich, ob der im Abs. 2 enthaltene Begriff der beachtlichen Gründe eher einschränkend oder eher grosszügig zu interpretieren ist. Die übergeordnete Norm des Art. 9 IVG bestimmt, dass die Massnahmen bloss "ausnahmsweise" im Ausland übernommen werden. Daraus liesse sich eine enge Auslegung des Begriffs der beachtlichen Gründe ableiten. Anderseits aber dürfen die Anforderungen nicht überspannt werden, weil sonst die Abgrenzung zu den Voraussetzungen von Abs. 1 schwierig würde. Ferner ist zu bedenken, dass der Bundesrat mit dem Abs. 2 bewusst eine neue Leistungsmöglichkeit einführen wollte. Wenn er hier also eine Leistungslücke schliessen wollte, dann darf dieser Abs. 2 nicht toter Buchstabe bleiben. Im weitern wäre eine enge Auslegung auch deshalb nicht gerechtfertigt, weil die Invalidenversicherung mit dieser neuen Leistungsmöglichkeit ja nicht stärker belastet wird, als wenn die Massnahme in der Schweiz durchgeführt würde. Schliesslich kann es sich auch nicht darum handeln, die Invalidenversicherung zu entlasten aus dem einzigen Grunde, dass sich der Versicherte aus beachtlichen Gründen im Ausland hat behandeln lassen. Daher kann dem BSV nicht gefolgt werden, wenn es meint, dass nur "besonders qualifizierte Gründe" Leistungen aus Abs. 2 rechtfertigen würden.</w:t>
      </w:r>
    </w:p>
    <w:p>
      <w:r>
        <w:rPr>
          <w:b/>
        </w:rPr>
        <w:t>E. 2</w:t>
      </w:r>
    </w:p>
    <w:p>
      <w:r>
        <w:t>Im vorliegenden Fall kann zum vornherein keinen beachtlichen Grund der Umstand bilden, dass die im Epilepsiezentrum Kork durchgeführte Abklärungsmassnahme erfolgreich war. BGE 110 V 99 S. 102 Denn die Frage einer Leistungsgewährung ist in der Invalidenversicherung prognostisch und nicht nach ihrem eingetretenen Erfolg zu beurteilen ( BGE 98 V 35 ). Das BSV weist in der Verwaltungsgerichtsbeschwerde darauf hin, dass es in der Schweiz qualifizierte Epilepsiekliniken gibt, wo die Abklärung des Beschwerdegegners hätte durchgeführt werden können. Ob Prof. Matthes, wie der Beschwerdegegner behauptet, besondere persönliche Erfahrungen auf dem in Frage stehenden Gebiet besitzt, kann nicht entscheidend sein; denn die Invalidenversicherung hat nicht für die bestmögliche Massnahme aufzukommen, sondern nur für das, was im Einzelfall notwendig, aber auch genügend ist ( BGE 98 V 100 ). Es fragt sich demnach, ob andere Umstände gegeben sind, welche als beachtlich bezeichnet werden müssen und als solche die Durchführung der Abklärungsmassnahme im Ausland gerechtfertigt haben. Die Vorinstanz ging davon aus, dass die in der Schweiz während Jahren durchgeführten Massnahmen und Abklärungen keinen Erfolg gebracht haben. Es sei dringend gewesen, die immer häufiger auftretenden epileptischen Krampfanfälle so rasch wie möglich zum Stillstand zu bringen, um weitere Dauerschäden des bereits verhaltensgestörten Knaben zu verhindern, denn jeder neue Anfall führe zu grösseren körperlichen und geistigen Schäden. Den Eltern des Versicherten habe nicht zugemutet werden können, vorerst sämtliche oder auch nur einzelne Spezialanstalten in der Schweiz aufzusuchen. Es war dann der Kinderarzt Dr. K., der die Abklärung durch Prof. Matthes in Kork vorschlug und befürwortete. Dadurch habe Dr. K. das Vertrauen der Eltern des Versicherten in jenen ausländischen Spezialarzt begründet; dieses Vertrauen sei schützenswert. Dieser vorinstanzlichen Auffassung ist beizupflichten, weshalb die Gründe, welche die Eltern des Versicherten veranlasst haben, die Abklärung im Ausland durchführen zu lassen, als beachtlich im Sinne von Art. 23bis Abs. 2 IVV bezeichnet werden müssen. Im materiellen Punkt erweist sich somit die Verwaltungsgerichtsbeschwerde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